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losing"/>
        <w:spacing w:lineRule="atLeast" w:line="240"/>
        <w:jc w:val="right"/>
        <w:rPr>
          <w:rFonts w:ascii="Liberation Serif" w:hAnsi="Liberation Serif" w:cs="Calibri"/>
          <w:b w:val="false"/>
          <w:sz w:val="24"/>
          <w:szCs w:val="24"/>
        </w:rPr>
      </w:pPr>
      <w:bookmarkStart w:id="0" w:name="_Hlk518914679"/>
      <w:r>
        <w:rPr>
          <w:rFonts w:cs="Calibri" w:ascii="Liberation Serif" w:hAnsi="Liberation Serif"/>
          <w:b w:val="false"/>
          <w:sz w:val="24"/>
          <w:szCs w:val="24"/>
        </w:rPr>
        <w:t>П</w:t>
      </w:r>
      <w:bookmarkEnd w:id="0"/>
      <w:r>
        <w:rPr>
          <w:rFonts w:cs="Calibri" w:ascii="Liberation Serif" w:hAnsi="Liberation Serif"/>
          <w:b w:val="false"/>
          <w:sz w:val="24"/>
          <w:szCs w:val="24"/>
        </w:rPr>
        <w:t>риложение 1.1</w:t>
      </w:r>
    </w:p>
    <w:p>
      <w:pPr>
        <w:pStyle w:val="Closing"/>
        <w:tabs>
          <w:tab w:val="clear" w:pos="709"/>
          <w:tab w:val="left" w:pos="7133" w:leader="none"/>
        </w:tabs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  <w:tab/>
      </w:r>
    </w:p>
    <w:p>
      <w:pPr>
        <w:pStyle w:val="Closing"/>
        <w:spacing w:lineRule="atLeast" w:line="240"/>
        <w:ind w:right="0" w:hanging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КАРТА ЗАКАЗА</w:t>
      </w:r>
    </w:p>
    <w:p>
      <w:pPr>
        <w:pStyle w:val="Closing"/>
        <w:spacing w:lineRule="auto" w:line="240"/>
        <w:ind w:right="0" w:hanging="0"/>
        <w:rPr>
          <w:rFonts w:ascii="Verdana" w:hAnsi="Verdana" w:cs="Calibri"/>
          <w:sz w:val="16"/>
          <w:szCs w:val="16"/>
        </w:rPr>
      </w:pPr>
      <w:r>
        <w:rPr>
          <w:rFonts w:cs="Calibri" w:ascii="Verdana" w:hAnsi="Verdana"/>
          <w:sz w:val="16"/>
          <w:szCs w:val="16"/>
        </w:rPr>
        <w:t>на устройства защиты от дуговых замыканий БМРЗ-156</w:t>
      </w:r>
    </w:p>
    <w:p>
      <w:pPr>
        <w:pStyle w:val="Closing"/>
        <w:spacing w:lineRule="auto" w:line="240"/>
        <w:ind w:right="0" w:hanging="0"/>
        <w:rPr>
          <w:rFonts w:ascii="Verdana" w:hAnsi="Verdana" w:cs="Calibri"/>
          <w:sz w:val="16"/>
          <w:szCs w:val="16"/>
        </w:rPr>
      </w:pPr>
      <w:r>
        <w:rPr>
          <w:rFonts w:cs="Calibri" w:ascii="Verdana" w:hAnsi="Verdana"/>
          <w:sz w:val="16"/>
          <w:szCs w:val="16"/>
        </w:rPr>
      </w:r>
    </w:p>
    <w:p>
      <w:pPr>
        <w:pStyle w:val="Closing"/>
        <w:spacing w:lineRule="auto" w:line="240" w:before="80" w:after="80"/>
        <w:ind w:left="142" w:right="142" w:hanging="0"/>
        <w:jc w:val="left"/>
        <w:rPr>
          <w:rFonts w:ascii="Verdana" w:hAnsi="Verdana" w:cs="Calibri"/>
          <w:b w:val="false"/>
          <w:sz w:val="16"/>
          <w:szCs w:val="16"/>
        </w:rPr>
      </w:pPr>
      <w:bookmarkStart w:id="1" w:name="_Hlk129344563"/>
      <w:r>
        <w:rPr>
          <w:rFonts w:cs="Calibri" w:ascii="Verdana" w:hAnsi="Verdana"/>
          <w:b w:val="false"/>
          <w:sz w:val="16"/>
          <w:szCs w:val="16"/>
        </w:rPr>
        <w:t xml:space="preserve">Отметьте знаком </w:t>
      </w:r>
      <w:r>
        <w:fldChar w:fldCharType="begin">
          <w:ffData>
            <w:name w:val=""/>
            <w:enabled/>
            <w:calcOnExit w:val="0"/>
            <w:checkBox>
              <w:sizeAuto/>
              <w:checked/>
            </w:checkBox>
          </w:ffData>
        </w:fldChar>
      </w:r>
      <w:r>
        <w:rPr>
          <w:sz w:val="16"/>
          <w:b w:val="false"/>
          <w:szCs w:val="16"/>
          <w:rFonts w:cs="Calibri" w:ascii="Verdana" w:hAnsi="Verdana"/>
        </w:rPr>
        <w:instrText xml:space="preserve"> FORMCHECKBOX </w:instrText>
      </w:r>
      <w:r>
        <w:rPr>
          <w:sz w:val="16"/>
          <w:b w:val="false"/>
          <w:szCs w:val="16"/>
          <w:rFonts w:cs="Calibri" w:ascii="Verdana" w:hAnsi="Verdana"/>
        </w:rPr>
        <w:fldChar w:fldCharType="separate"/>
      </w:r>
      <w:bookmarkStart w:id="2" w:name="Bookmark"/>
      <w:bookmarkStart w:id="3" w:name="Bookmark"/>
      <w:bookmarkEnd w:id="3"/>
      <w:r>
        <w:rPr>
          <w:rFonts w:cs="Calibri" w:ascii="Verdana" w:hAnsi="Verdana"/>
          <w:b w:val="false"/>
          <w:sz w:val="16"/>
          <w:szCs w:val="16"/>
        </w:rPr>
      </w:r>
      <w:r>
        <w:rPr>
          <w:sz w:val="16"/>
          <w:b w:val="false"/>
          <w:szCs w:val="16"/>
          <w:rFonts w:cs="Calibri" w:ascii="Verdana" w:hAnsi="Verdana"/>
        </w:rPr>
        <w:fldChar w:fldCharType="end"/>
      </w:r>
      <w:bookmarkStart w:id="4" w:name="Bookmark_Копия_1"/>
      <w:bookmarkEnd w:id="4"/>
      <w:r>
        <w:rPr>
          <w:rFonts w:cs="Calibri" w:ascii="Verdana" w:hAnsi="Verdana"/>
          <w:b w:val="false"/>
          <w:sz w:val="16"/>
          <w:szCs w:val="16"/>
        </w:rPr>
        <w:t xml:space="preserve"> то, что Вам требуется, или впишите соответствующие параметры</w:t>
      </w:r>
      <w:bookmarkEnd w:id="1"/>
    </w:p>
    <w:tbl>
      <w:tblPr>
        <w:tblStyle w:val="a6"/>
        <w:tblW w:w="10061" w:type="dxa"/>
        <w:jc w:val="left"/>
        <w:tblInd w:w="1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95"/>
        <w:gridCol w:w="1194"/>
        <w:gridCol w:w="1170"/>
        <w:gridCol w:w="1271"/>
        <w:gridCol w:w="975"/>
        <w:gridCol w:w="1987"/>
        <w:gridCol w:w="1268"/>
      </w:tblGrid>
      <w:tr>
        <w:trPr/>
        <w:tc>
          <w:tcPr>
            <w:tcW w:w="10060" w:type="dxa"/>
            <w:gridSpan w:val="7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Verdana" w:hAnsi="Verdana" w:cs="Open Sans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Open Sans" w:ascii="Verdana" w:hAnsi="Verdana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Исполнение регистратора дуговых замыканий</w:t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Наименование</w:t>
            </w:r>
          </w:p>
        </w:tc>
        <w:tc>
          <w:tcPr>
            <w:tcW w:w="119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Способ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монтажа</w:t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ВОД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Контроль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Целостности Оптоволокна</w:t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Тип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ВОД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Количество регистраторов</w:t>
              <w:br/>
              <w:t>(по одному на ячейку)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Выбор исполнения регистратора</w:t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Нео-4К-У</w:t>
            </w:r>
          </w:p>
        </w:tc>
        <w:tc>
          <w:tcPr>
            <w:tcW w:w="119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Утопленный</w:t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4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</w:rPr>
            </w:pPr>
            <w:r>
              <w:rPr>
                <w:rFonts w:eastAsia="Wingdings" w:cs="Wingdings" w:ascii="Wingdings" w:hAnsi="Wingdings"/>
                <w:color w:val="00AC86"/>
                <w:kern w:val="2"/>
                <w:position w:val="1"/>
                <w:sz w:val="16"/>
                <w:szCs w:val="16"/>
                <w:lang w:val="ru-RU" w:eastAsia="ru-RU" w:bidi="ar-SA"/>
              </w:rPr>
              <w:sym w:font="Wingdings" w:char="f0fe"/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en-US" w:eastAsia="ru-RU" w:bidi="ar-SA"/>
              </w:rPr>
              <w:t>ВОД-РК2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5" w:name="Bookmark_Копия_2"/>
            <w:bookmarkStart w:id="6" w:name="Bookmark_Копия_2"/>
            <w:bookmarkEnd w:id="6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Нео-3К-У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3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Wingdings" w:cs="Wingdings" w:ascii="Wingdings" w:hAnsi="Wingdings"/>
                <w:color w:val="00AC86"/>
                <w:kern w:val="2"/>
                <w:position w:val="1"/>
                <w:sz w:val="16"/>
                <w:szCs w:val="16"/>
                <w:lang w:val="ru-RU" w:eastAsia="ru-RU" w:bidi="ar-SA"/>
              </w:rPr>
              <w:sym w:font="Wingdings" w:char="f0fe"/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en-US" w:eastAsia="ru-RU" w:bidi="ar-SA"/>
              </w:rPr>
              <w:t>ВОД-РК2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7" w:name="Bookmark_Копия_3"/>
            <w:bookmarkStart w:id="8" w:name="Bookmark_Копия_3"/>
            <w:bookmarkEnd w:id="8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Нео-4Б-У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4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b/>
                <w:bCs/>
                <w:kern w:val="0"/>
                <w:sz w:val="16"/>
                <w:szCs w:val="16"/>
                <w:lang w:val="en-US" w:eastAsia="ru-RU" w:bidi="ar-SA"/>
              </w:rPr>
              <w:t>-</w:t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ВОД-Р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9" w:name="Bookmark_Копия_4"/>
            <w:bookmarkStart w:id="10" w:name="Bookmark_Копия_4"/>
            <w:bookmarkEnd w:id="10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Нео-3Б-У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3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b/>
                <w:bCs/>
                <w:kern w:val="0"/>
                <w:sz w:val="16"/>
                <w:szCs w:val="16"/>
                <w:lang w:val="en-US" w:eastAsia="ru-RU" w:bidi="ar-SA"/>
              </w:rPr>
              <w:t>-</w:t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ВОД-Р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11" w:name="Bookmark_Копия_5"/>
            <w:bookmarkStart w:id="12" w:name="Bookmark_Копия_5"/>
            <w:bookmarkEnd w:id="12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Нео-4К-Д</w:t>
            </w:r>
          </w:p>
        </w:tc>
        <w:tc>
          <w:tcPr>
            <w:tcW w:w="119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DIN35</w:t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4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Wingdings" w:cs="Wingdings" w:ascii="Wingdings" w:hAnsi="Wingdings"/>
                <w:color w:val="00AC86"/>
                <w:kern w:val="2"/>
                <w:position w:val="1"/>
                <w:sz w:val="16"/>
                <w:szCs w:val="16"/>
                <w:lang w:val="ru-RU" w:eastAsia="ru-RU" w:bidi="ar-SA"/>
              </w:rPr>
              <w:sym w:font="Wingdings" w:char="f0fe"/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en-US" w:eastAsia="ru-RU" w:bidi="ar-SA"/>
              </w:rPr>
              <w:t>ВОД-РК2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13" w:name="Bookmark_Копия_6"/>
            <w:bookmarkStart w:id="14" w:name="Bookmark_Копия_6"/>
            <w:bookmarkEnd w:id="14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Нео-3К-Д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3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Wingdings" w:cs="Wingdings" w:ascii="Wingdings" w:hAnsi="Wingdings"/>
                <w:color w:val="00AC86"/>
                <w:kern w:val="2"/>
                <w:position w:val="1"/>
                <w:sz w:val="16"/>
                <w:szCs w:val="16"/>
                <w:lang w:val="ru-RU" w:eastAsia="ru-RU" w:bidi="ar-SA"/>
              </w:rPr>
              <w:sym w:font="Wingdings" w:char="f0fe"/>
            </w:r>
          </w:p>
        </w:tc>
        <w:tc>
          <w:tcPr>
            <w:tcW w:w="9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AC86"/>
                <w:kern w:val="0"/>
                <w:sz w:val="16"/>
                <w:szCs w:val="16"/>
                <w:lang w:val="en-US" w:eastAsia="ru-RU" w:bidi="ar-SA"/>
              </w:rPr>
              <w:t>ВОД-РК2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00AC86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15" w:name="Bookmark_Копия_7"/>
            <w:bookmarkStart w:id="16" w:name="Bookmark_Копия_7"/>
            <w:bookmarkEnd w:id="16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/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Нео-4Б-Д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4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b/>
                <w:bCs/>
                <w:kern w:val="0"/>
                <w:sz w:val="16"/>
                <w:szCs w:val="16"/>
                <w:lang w:val="en-US" w:eastAsia="ru-RU" w:bidi="ar-SA"/>
              </w:rPr>
              <w:t>-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ВОД-Р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17" w:name="Bookmark_Копия_8"/>
            <w:bookmarkStart w:id="18" w:name="Bookmark_Копия_8"/>
            <w:bookmarkEnd w:id="18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  <w:tr>
        <w:trPr>
          <w:trHeight w:val="227" w:hRule="atLeast"/>
        </w:trPr>
        <w:tc>
          <w:tcPr>
            <w:tcW w:w="21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ДУГА-О2 Нео-3Б-Д</w:t>
            </w:r>
          </w:p>
        </w:tc>
        <w:tc>
          <w:tcPr>
            <w:tcW w:w="119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cs="Open Sans" w:ascii="Open Sans" w:hAnsi="Open Sans"/>
                <w:sz w:val="16"/>
                <w:szCs w:val="16"/>
              </w:rPr>
            </w:r>
          </w:p>
        </w:tc>
        <w:tc>
          <w:tcPr>
            <w:tcW w:w="11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3</w:t>
            </w:r>
          </w:p>
        </w:tc>
        <w:tc>
          <w:tcPr>
            <w:tcW w:w="12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b/>
                <w:bCs/>
                <w:kern w:val="0"/>
                <w:sz w:val="16"/>
                <w:szCs w:val="16"/>
                <w:lang w:val="en-US" w:eastAsia="ru-RU" w:bidi="ar-SA"/>
              </w:rPr>
              <w:t>-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en-US" w:eastAsia="ru-RU" w:bidi="ar-SA"/>
              </w:rPr>
              <w:t>ВОД-Р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_________ шт.</w:t>
            </w:r>
          </w:p>
        </w:tc>
        <w:tc>
          <w:tcPr>
            <w:tcW w:w="126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19" w:name="Bookmark_Копия_9"/>
            <w:bookmarkStart w:id="20" w:name="Bookmark_Копия_9"/>
            <w:bookmarkEnd w:id="20"/>
            <w:r/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r>
              <w:rPr>
                <w:rFonts w:ascii="Verdana" w:hAnsi="Verdana"/>
                <w:sz w:val="16"/>
                <w:szCs w:val="16"/>
              </w:rPr>
            </w:r>
          </w:p>
        </w:tc>
      </w:tr>
    </w:tbl>
    <w:p>
      <w:pPr>
        <w:pStyle w:val="Closing"/>
        <w:spacing w:lineRule="atLeast" w:line="240"/>
        <w:ind w:right="0" w:hanging="0"/>
        <w:jc w:val="left"/>
        <w:rPr/>
      </w:pPr>
      <w:r>
        <w:rPr/>
      </w:r>
    </w:p>
    <w:tbl>
      <w:tblPr>
        <w:tblStyle w:val="a6"/>
        <w:tblW w:w="10058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3330"/>
        <w:gridCol w:w="5028"/>
      </w:tblGrid>
      <w:tr>
        <w:trPr/>
        <w:tc>
          <w:tcPr>
            <w:tcW w:w="10057" w:type="dxa"/>
            <w:gridSpan w:val="3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Наличие центрального блока</w:t>
            </w:r>
          </w:p>
        </w:tc>
      </w:tr>
      <w:tr>
        <w:trPr/>
        <w:tc>
          <w:tcPr>
            <w:tcW w:w="502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FFFFFF" w:themeColor="background1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21" w:name="Bookmark_Копия_10"/>
            <w:bookmarkStart w:id="22" w:name="Bookmark_Копия_10"/>
            <w:bookmarkEnd w:id="22"/>
            <w:r>
              <w:rPr>
                <w:rFonts w:ascii="Verdana" w:hAnsi="Verdana"/>
                <w:sz w:val="16"/>
                <w:szCs w:val="16"/>
              </w:rPr>
            </w:r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bookmarkStart w:id="23" w:name="Bookmark_Копия_9"/>
            <w:bookmarkEnd w:id="23"/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 xml:space="preserve"> Да</w:t>
            </w:r>
          </w:p>
        </w:tc>
        <w:tc>
          <w:tcPr>
            <w:tcW w:w="502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Open Sans" w:hAnsi="Open Sans" w:cs="Open Sans"/>
                <w:color w:val="FFFFFF" w:themeColor="background1"/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16"/>
                <w:szCs w:val="16"/>
                <w:rFonts w:ascii="Verdana" w:hAnsi="Verdana"/>
              </w:rPr>
              <w:instrText xml:space="preserve"> FORMCHECKBOX </w:instrText>
            </w:r>
            <w:r>
              <w:rPr>
                <w:sz w:val="16"/>
                <w:szCs w:val="16"/>
                <w:rFonts w:ascii="Verdana" w:hAnsi="Verdana"/>
              </w:rPr>
              <w:fldChar w:fldCharType="separate"/>
            </w:r>
            <w:bookmarkStart w:id="24" w:name="Bookmark_Копия_11"/>
            <w:bookmarkStart w:id="25" w:name="Bookmark_Копия_11"/>
            <w:bookmarkEnd w:id="25"/>
            <w:r>
              <w:rPr>
                <w:rFonts w:ascii="Verdana" w:hAnsi="Verdana"/>
                <w:sz w:val="16"/>
                <w:szCs w:val="16"/>
              </w:rPr>
            </w:r>
            <w:r>
              <w:rPr>
                <w:sz w:val="16"/>
                <w:szCs w:val="16"/>
                <w:rFonts w:ascii="Verdana" w:hAnsi="Verdana"/>
              </w:rPr>
              <w:fldChar w:fldCharType="end"/>
            </w:r>
            <w:bookmarkStart w:id="26" w:name="Bookmark_Копия_10"/>
            <w:bookmarkEnd w:id="26"/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 xml:space="preserve"> Нет</w:t>
            </w:r>
          </w:p>
        </w:tc>
      </w:tr>
      <w:tr>
        <w:trPr/>
        <w:tc>
          <w:tcPr>
            <w:tcW w:w="10057" w:type="dxa"/>
            <w:gridSpan w:val="3"/>
            <w:tcBorders/>
            <w:shd w:color="auto" w:fill="2E669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Verdana" w:hAnsi="Verdana" w:cs="Calibri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b/>
                <w:bCs/>
                <w:color w:val="FFFFFF" w:themeColor="background1"/>
                <w:kern w:val="0"/>
                <w:sz w:val="16"/>
                <w:szCs w:val="16"/>
                <w:lang w:val="ru-RU" w:eastAsia="ru-RU" w:bidi="ar-SA"/>
              </w:rPr>
              <w:t>Исполнение центрального блока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БМРЗ-156-X-Y-W-ДгЗ-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ZZ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Номинальное напряжение и род тока для дискретных входов:</w:t>
              <w:br/>
              <w:t>«1» - постоянный/переменный 100/110В;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«2» - постоянный/переменный 220В;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«4» - постоянный 220В.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Y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Исполнения пульта:</w:t>
              <w:br/>
              <w:t>«Д» - встроенный пульт;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«П» - вынесенный пульт.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W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Интерфейсы коммуникации: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«Обозначение отсутствует» - (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RS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-485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2,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Ethernet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10/100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BASE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-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TX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x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2,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USB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),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Modbus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RTU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/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TCP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/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MT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, МЭК 60870-101/103/104,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FTP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SNTP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v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.4,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PTP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(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v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2),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RSTP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**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«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М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» - (RS-485x2, Ethernet 10/100 BASE-TX x2, USB), Modbus RTU/TCP/MT,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МЭК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61850 (MMS, GOOSE), МЭК 60870-101/103/104, FTP, SNTP v.4, PTP (v2), RSTP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«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О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» - (RS-485x2, Ethernet 100 BASE-FX x2, USB), Modbus RTU/TCP/MT, МЭК 60870-101/103/104, FTP, SNTP v.4, PTP (v2), RSTP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«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ОМ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» - (RS-485x2, Ethernet 100 BASE-FX x2, USB),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МЭК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61850 (MMS, GOOSE), Modbus RTU/TCP/MT, МЭК 60870-101/103/104, FTP, SNTP v.4, PTP (v2), RSTP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en-US" w:eastAsia="ru-RU" w:bidi="ar-SA"/>
              </w:rPr>
              <w:t>ZZ</w:t>
            </w: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 xml:space="preserve"> *</w:t>
            </w: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 xml:space="preserve"> - версия программного обеспечения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БМРЗ-156-ДгЗ-*51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Для секции шин с одним или двумя вводами, с резервным вводом (РВ) или без него, а также с одним или двумя секционными выключателями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БМРЗ-156-ДгЗ-*52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Для секции шин с рабочим и резервным вводами (как правило, РУСН электростанций)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БМРЗ-156-ДгЗ-*53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color w:val="000000" w:themeColor="text1"/>
                <w:kern w:val="0"/>
                <w:sz w:val="16"/>
                <w:szCs w:val="16"/>
                <w:lang w:val="ru-RU" w:eastAsia="ru-RU" w:bidi="ar-SA"/>
              </w:rPr>
              <w:t>Подстанции с большим количеством вводов на одну с.ш. (шины генераторного РУ (до шести ВВ и два СВ))</w:t>
            </w:r>
          </w:p>
        </w:tc>
      </w:tr>
      <w:tr>
        <w:trPr/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Конечное наименование**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Open Sans" w:ascii="Open Sans" w:hAnsi="Open Sans"/>
                <w:b/>
                <w:bCs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 xml:space="preserve">БМРЗ-156 — 2 </w:t>
            </w:r>
            <w:r>
              <w:rPr>
                <w:rFonts w:eastAsia="Times New Roman" w:cs="Open Sans" w:ascii="Open Sans" w:hAnsi="Open Sans"/>
                <w:b/>
                <w:bCs/>
                <w:color w:val="000000" w:themeColor="text1"/>
                <w:kern w:val="0"/>
                <w:sz w:val="20"/>
                <w:szCs w:val="20"/>
                <w:lang w:val="en-US" w:eastAsia="ru-RU" w:bidi="ar-SA"/>
              </w:rPr>
              <w:t>-</w:t>
            </w:r>
            <w:r>
              <w:rPr>
                <w:rFonts w:eastAsia="Times New Roman" w:cs="Open Sans" w:ascii="Open Sans" w:hAnsi="Open Sans"/>
                <w:b/>
                <w:bCs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 xml:space="preserve"> Д –</w:t>
            </w:r>
            <w:r>
              <w:rPr>
                <w:rFonts w:eastAsia="Times New Roman" w:cs="Open Sans" w:ascii="Open Sans" w:hAnsi="Open Sans"/>
                <w:b/>
                <w:bCs/>
                <w:color w:val="000000" w:themeColor="text1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>
              <w:rPr>
                <w:rFonts w:eastAsia="Times New Roman" w:cs="Open Sans" w:ascii="Open Sans" w:hAnsi="Open Sans"/>
                <w:b/>
                <w:bCs/>
                <w:color w:val="000000" w:themeColor="text1"/>
                <w:kern w:val="0"/>
                <w:sz w:val="20"/>
                <w:szCs w:val="20"/>
                <w:lang w:val="ru-RU" w:eastAsia="ru-RU" w:bidi="ar-SA"/>
              </w:rPr>
              <w:t>ДгЗ - 51</w:t>
            </w:r>
          </w:p>
        </w:tc>
      </w:tr>
      <w:tr>
        <w:trPr>
          <w:trHeight w:val="283" w:hRule="atLeast"/>
        </w:trPr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eastAsia="Times New Roman" w:cs="Open Sans" w:ascii="Open Sans" w:hAnsi="Open Sans"/>
                <w:kern w:val="0"/>
                <w:sz w:val="16"/>
                <w:szCs w:val="16"/>
                <w:lang w:val="ru-RU" w:eastAsia="ru-RU" w:bidi="ar-SA"/>
              </w:rPr>
              <w:t>Кол-во</w:t>
            </w:r>
          </w:p>
        </w:tc>
        <w:tc>
          <w:tcPr>
            <w:tcW w:w="83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____2_____ шт.</w:t>
            </w:r>
          </w:p>
        </w:tc>
      </w:tr>
      <w:tr>
        <w:trPr/>
        <w:tc>
          <w:tcPr>
            <w:tcW w:w="1005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 w:ascii="Verdana" w:hAnsi="Verdana"/>
                <w:color w:val="000000"/>
                <w:kern w:val="0"/>
                <w:sz w:val="16"/>
                <w:szCs w:val="16"/>
                <w:lang w:val="ru-RU" w:eastAsia="ru-RU" w:bidi="ar-SA"/>
              </w:rPr>
              <w:t>** наиболее популярное исполнение центрального блока: БМРЗ-156-2-Д-М-ДгЗ-51</w:t>
            </w:r>
          </w:p>
        </w:tc>
      </w:tr>
    </w:tbl>
    <w:p>
      <w:pPr>
        <w:pStyle w:val="Closing"/>
        <w:spacing w:lineRule="atLeast" w:line="240"/>
        <w:ind w:right="0" w:hanging="0"/>
        <w:jc w:val="left"/>
        <w:rPr/>
      </w:pPr>
      <w:r>
        <w:rPr/>
      </w:r>
    </w:p>
    <w:p>
      <w:pPr>
        <w:pStyle w:val="Closing"/>
        <w:spacing w:lineRule="atLeast" w:line="240"/>
        <w:ind w:right="0" w:hanging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>
          <w:rFonts w:cs="Calibri" w:ascii="Verdana" w:hAnsi="Verdana"/>
          <w:b w:val="false"/>
          <w:sz w:val="16"/>
          <w:szCs w:val="16"/>
        </w:rPr>
      </w:r>
    </w:p>
    <w:p>
      <w:pPr>
        <w:pStyle w:val="Closing"/>
        <w:spacing w:lineRule="atLeast" w:line="240"/>
        <w:jc w:val="left"/>
        <w:rPr>
          <w:rFonts w:ascii="Verdana" w:hAnsi="Verdana" w:cs="Calibri"/>
          <w:b w:val="false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45" w:top="666" w:footer="87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MinionPro-Regular">
    <w:charset w:val="cc"/>
    <w:family w:val="roman"/>
    <w:pitch w:val="variable"/>
  </w:font>
  <w:font w:name="Verdana">
    <w:charset w:val="cc"/>
    <w:family w:val="roman"/>
    <w:pitch w:val="variable"/>
  </w:font>
  <w:font w:name="Open Sans">
    <w:charset w:val="cc"/>
    <w:family w:val="roman"/>
    <w:pitch w:val="variable"/>
  </w:font>
  <w:font w:name="Wingdings">
    <w:charset w:val="0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jc w:val="right"/>
      <w:rPr>
        <w:rFonts w:ascii="Verdana" w:hAnsi="Verdana" w:cs="Calibri"/>
        <w:sz w:val="18"/>
        <w:szCs w:val="18"/>
      </w:rPr>
    </w:pPr>
    <w:r>
      <w:rPr>
        <w:rFonts w:cs="Calibri" w:ascii="Verdana" w:hAnsi="Verdana"/>
        <w:sz w:val="18"/>
        <w:szCs w:val="18"/>
      </w:rPr>
      <w:t xml:space="preserve">Страница </w:t>
    </w:r>
    <w:r>
      <w:rPr>
        <w:rFonts w:cs="Calibri" w:ascii="Verdana" w:hAnsi="Verdana"/>
        <w:bCs/>
        <w:sz w:val="18"/>
        <w:szCs w:val="18"/>
      </w:rPr>
      <w:fldChar w:fldCharType="begin"/>
    </w:r>
    <w:r>
      <w:rPr>
        <w:sz w:val="18"/>
        <w:szCs w:val="18"/>
        <w:bCs/>
        <w:rFonts w:cs="Calibri" w:ascii="Verdana" w:hAnsi="Verdana"/>
      </w:rPr>
      <w:instrText xml:space="preserve"> PAGE </w:instrText>
    </w:r>
    <w:r>
      <w:rPr>
        <w:sz w:val="18"/>
        <w:szCs w:val="18"/>
        <w:bCs/>
        <w:rFonts w:cs="Calibri" w:ascii="Verdana" w:hAnsi="Verdana"/>
      </w:rPr>
      <w:fldChar w:fldCharType="separate"/>
    </w:r>
    <w:r>
      <w:rPr>
        <w:sz w:val="18"/>
        <w:szCs w:val="18"/>
        <w:bCs/>
        <w:rFonts w:cs="Calibri" w:ascii="Verdana" w:hAnsi="Verdana"/>
      </w:rPr>
      <w:t>1</w:t>
    </w:r>
    <w:r>
      <w:rPr>
        <w:sz w:val="18"/>
        <w:szCs w:val="18"/>
        <w:bCs/>
        <w:rFonts w:cs="Calibri" w:ascii="Verdana" w:hAnsi="Verdana"/>
      </w:rPr>
      <w:fldChar w:fldCharType="end"/>
    </w:r>
    <w:r>
      <w:rPr>
        <w:rFonts w:cs="Calibri" w:ascii="Verdana" w:hAnsi="Verdana"/>
        <w:sz w:val="18"/>
        <w:szCs w:val="18"/>
      </w:rPr>
      <w:t xml:space="preserve"> из </w:t>
    </w:r>
    <w:r>
      <w:rPr>
        <w:rFonts w:cs="Calibri" w:ascii="Verdana" w:hAnsi="Verdana"/>
        <w:bCs/>
        <w:sz w:val="18"/>
        <w:szCs w:val="18"/>
      </w:rPr>
      <w:fldChar w:fldCharType="begin"/>
    </w:r>
    <w:r>
      <w:rPr>
        <w:sz w:val="18"/>
        <w:szCs w:val="18"/>
        <w:bCs/>
        <w:rFonts w:cs="Calibri" w:ascii="Verdana" w:hAnsi="Verdana"/>
      </w:rPr>
      <w:instrText xml:space="preserve"> NUMPAGES </w:instrText>
    </w:r>
    <w:r>
      <w:rPr>
        <w:sz w:val="18"/>
        <w:szCs w:val="18"/>
        <w:bCs/>
        <w:rFonts w:cs="Calibri" w:ascii="Verdana" w:hAnsi="Verdana"/>
      </w:rPr>
      <w:fldChar w:fldCharType="separate"/>
    </w:r>
    <w:r>
      <w:rPr>
        <w:sz w:val="18"/>
        <w:szCs w:val="18"/>
        <w:bCs/>
        <w:rFonts w:cs="Calibri" w:ascii="Verdana" w:hAnsi="Verdana"/>
      </w:rPr>
      <w:t>1</w:t>
    </w:r>
    <w:r>
      <w:rPr>
        <w:sz w:val="18"/>
        <w:szCs w:val="18"/>
        <w:bCs/>
        <w:rFonts w:cs="Calibri" w:ascii="Verdana" w:hAnsi="Verdana"/>
      </w:rPr>
      <w:fldChar w:fldCharType="end"/>
    </w:r>
  </w:p>
  <w:p>
    <w:pPr>
      <w:pStyle w:val="Footer"/>
      <w:rPr>
        <w:sz w:val="20"/>
        <w:szCs w:val="20"/>
      </w:rPr>
    </w:pPr>
    <w:r>
      <w:rPr/>
      <w:tab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</w:t>
    </w:r>
  </w:p>
  <w:p>
    <w:pPr>
      <w:pStyle w:val="Header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Normal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3ae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spacing w:lineRule="auto" w:line="360"/>
      <w:ind w:right="142" w:hanging="0"/>
      <w:outlineLvl w:val="0"/>
    </w:pPr>
    <w:rPr>
      <w:rFonts w:ascii="Arial" w:hAnsi="Arial"/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выноски Знак"/>
    <w:link w:val="BalloonText"/>
    <w:uiPriority w:val="99"/>
    <w:semiHidden/>
    <w:qFormat/>
    <w:rsid w:val="00fd1c87"/>
    <w:rPr>
      <w:rFonts w:ascii="Segoe UI" w:hAnsi="Segoe UI" w:cs="Segoe UI"/>
      <w:sz w:val="18"/>
      <w:szCs w:val="18"/>
    </w:rPr>
  </w:style>
  <w:style w:type="character" w:styleId="Style9" w:customStyle="1">
    <w:name w:val="Основной текст Знак"/>
    <w:uiPriority w:val="99"/>
    <w:semiHidden/>
    <w:qFormat/>
    <w:rsid w:val="0087371f"/>
    <w:rPr>
      <w:sz w:val="24"/>
      <w:szCs w:val="24"/>
    </w:rPr>
  </w:style>
  <w:style w:type="character" w:styleId="Style10" w:customStyle="1">
    <w:name w:val="Верхний колонтитул Знак"/>
    <w:uiPriority w:val="99"/>
    <w:qFormat/>
    <w:rsid w:val="004c7bd6"/>
    <w:rPr>
      <w:sz w:val="24"/>
      <w:szCs w:val="24"/>
    </w:rPr>
  </w:style>
  <w:style w:type="character" w:styleId="Style11" w:customStyle="1">
    <w:name w:val="Нижний колонтитул Знак"/>
    <w:uiPriority w:val="99"/>
    <w:qFormat/>
    <w:rsid w:val="004c7bd6"/>
    <w:rPr>
      <w:sz w:val="24"/>
      <w:szCs w:val="24"/>
    </w:rPr>
  </w:style>
  <w:style w:type="character" w:styleId="Annotationreference">
    <w:name w:val="annotation reference"/>
    <w:uiPriority w:val="99"/>
    <w:semiHidden/>
    <w:unhideWhenUsed/>
    <w:qFormat/>
    <w:rsid w:val="008207dd"/>
    <w:rPr>
      <w:sz w:val="16"/>
      <w:szCs w:val="16"/>
    </w:rPr>
  </w:style>
  <w:style w:type="character" w:styleId="Style12" w:customStyle="1">
    <w:name w:val="Текст примечания Знак"/>
    <w:basedOn w:val="DefaultParagraphFont"/>
    <w:link w:val="Annotationtext"/>
    <w:uiPriority w:val="99"/>
    <w:semiHidden/>
    <w:qFormat/>
    <w:rsid w:val="008207dd"/>
    <w:rPr/>
  </w:style>
  <w:style w:type="character" w:styleId="Style13" w:customStyle="1">
    <w:name w:val="Тема примечания Знак"/>
    <w:link w:val="Annotationsubject"/>
    <w:uiPriority w:val="99"/>
    <w:semiHidden/>
    <w:qFormat/>
    <w:rsid w:val="008207dd"/>
    <w:rPr>
      <w:b/>
      <w:b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9"/>
    <w:uiPriority w:val="99"/>
    <w:semiHidden/>
    <w:unhideWhenUsed/>
    <w:rsid w:val="0087371f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Ua515e9" w:customStyle="1">
    <w:name w:val="Обычныua515e9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16" w:customStyle="1">
    <w:name w:val="Обычный.Нормальный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4"/>
      <w:lang w:val="ru-RU" w:eastAsia="ru-RU" w:bidi="ar-SA"/>
    </w:rPr>
  </w:style>
  <w:style w:type="paragraph" w:styleId="BodyTextIndent">
    <w:name w:val="Body Text Indent"/>
    <w:basedOn w:val="Normal"/>
    <w:semiHidden/>
    <w:pPr>
      <w:spacing w:before="120" w:after="0"/>
      <w:ind w:right="142" w:firstLine="425"/>
      <w:jc w:val="both"/>
    </w:pPr>
    <w:rPr>
      <w:rFonts w:ascii="Arial" w:hAnsi="Arial" w:cs="Arial"/>
      <w:i/>
      <w:iCs/>
      <w:sz w:val="20"/>
    </w:rPr>
  </w:style>
  <w:style w:type="paragraph" w:styleId="Closing" w:customStyle="1">
    <w:name w:val="Closing"/>
    <w:basedOn w:val="Normal"/>
    <w:qFormat/>
    <w:rsid w:val="002d094c"/>
    <w:pPr>
      <w:widowControl w:val="false"/>
      <w:overflowPunct w:val="false"/>
      <w:spacing w:lineRule="auto" w:line="360"/>
      <w:ind w:right="142" w:hanging="0"/>
      <w:jc w:val="center"/>
      <w:textAlignment w:val="baseline"/>
    </w:pPr>
    <w:rPr>
      <w:rFonts w:ascii="Arial" w:hAnsi="Arial" w:cs="Arial"/>
      <w:b/>
      <w:sz w:val="20"/>
      <w:szCs w:val="20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fd1c87"/>
    <w:pPr/>
    <w:rPr>
      <w:rFonts w:ascii="Segoe UI" w:hAnsi="Segoe UI" w:cs="Segoe UI"/>
      <w:sz w:val="18"/>
      <w:szCs w:val="18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unhideWhenUsed/>
    <w:rsid w:val="004c7bd6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1"/>
    <w:uiPriority w:val="99"/>
    <w:unhideWhenUsed/>
    <w:rsid w:val="004c7bd6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Style12"/>
    <w:uiPriority w:val="99"/>
    <w:semiHidden/>
    <w:unhideWhenUsed/>
    <w:qFormat/>
    <w:rsid w:val="008207d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3"/>
    <w:uiPriority w:val="99"/>
    <w:semiHidden/>
    <w:unhideWhenUsed/>
    <w:qFormat/>
    <w:rsid w:val="008207dd"/>
    <w:pPr/>
    <w:rPr>
      <w:b/>
      <w:bCs/>
    </w:rPr>
  </w:style>
  <w:style w:type="paragraph" w:styleId="ListParagraph">
    <w:name w:val="List Paragraph"/>
    <w:basedOn w:val="Normal"/>
    <w:uiPriority w:val="34"/>
    <w:qFormat/>
    <w:rsid w:val="0076044c"/>
    <w:pPr>
      <w:spacing w:before="0" w:after="0"/>
      <w:ind w:left="720" w:hanging="0"/>
      <w:contextualSpacing/>
    </w:pPr>
    <w:rPr/>
  </w:style>
  <w:style w:type="paragraph" w:styleId="BasicParagraph" w:customStyle="1">
    <w:name w:val="[Basic Paragraph]"/>
    <w:basedOn w:val="Normal"/>
    <w:uiPriority w:val="99"/>
    <w:qFormat/>
    <w:rsid w:val="00001995"/>
    <w:pPr>
      <w:widowControl w:val="false"/>
      <w:spacing w:lineRule="auto" w:line="288"/>
      <w:textAlignment w:val="center"/>
    </w:pPr>
    <w:rPr>
      <w:rFonts w:ascii="MinionPro-Regular" w:hAnsi="MinionPro-Regular" w:eastAsia="" w:cs="MinionPro-Regular" w:eastAsiaTheme="minorEastAsia"/>
      <w:color w:val="000000"/>
      <w:lang w:val="en-GB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dd4b0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AE90-6449-4D00-A95F-C14676D1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Application>AlterOffice/3.4.0.8$Windows_X86_64 LibreOffice_project/8f3f3c847f0b8d6fea24e251d3d8ed4f23cbe23c</Application>
  <AppVersion>15.0000</AppVersion>
  <Pages>1</Pages>
  <Words>325</Words>
  <Characters>1874</Characters>
  <CharactersWithSpaces>2119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2025-01-15T08:47:00Z</dcterms:created>
  <dc:creator>ООО "НТЦ "Механотроника"</dc:creator>
  <dc:description/>
  <dc:language>ru-RU</dc:language>
  <cp:lastModifiedBy/>
  <cp:lastPrinted>2025-01-15T11:37:00Z</cp:lastPrinted>
  <dcterms:modified xsi:type="dcterms:W3CDTF">2026-07-28T11:54:11Z</dcterms:modified>
  <cp:revision>51</cp:revision>
  <dc:subject/>
  <dc:title>Карта заказа на устройства защиты от дуговых замыканий «ДУГА-МТ»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f93e5f-d3c2-49a7-ba94-15405423c204_ActionId">
    <vt:lpwstr>3f56a8c0-8830-485c-9f0f-abcd24f3a9c0</vt:lpwstr>
  </property>
  <property fmtid="{D5CDD505-2E9C-101B-9397-08002B2CF9AE}" pid="3" name="MSIP_Label_23f93e5f-d3c2-49a7-ba94-15405423c204_ContentBits">
    <vt:lpwstr>2</vt:lpwstr>
  </property>
  <property fmtid="{D5CDD505-2E9C-101B-9397-08002B2CF9AE}" pid="4" name="MSIP_Label_23f93e5f-d3c2-49a7-ba94-15405423c204_Enabled">
    <vt:lpwstr>true</vt:lpwstr>
  </property>
  <property fmtid="{D5CDD505-2E9C-101B-9397-08002B2CF9AE}" pid="5" name="MSIP_Label_23f93e5f-d3c2-49a7-ba94-15405423c204_Method">
    <vt:lpwstr>Standard</vt:lpwstr>
  </property>
  <property fmtid="{D5CDD505-2E9C-101B-9397-08002B2CF9AE}" pid="6" name="MSIP_Label_23f93e5f-d3c2-49a7-ba94-15405423c204_Name">
    <vt:lpwstr>SE Internal</vt:lpwstr>
  </property>
  <property fmtid="{D5CDD505-2E9C-101B-9397-08002B2CF9AE}" pid="7" name="MSIP_Label_23f93e5f-d3c2-49a7-ba94-15405423c204_SetDate">
    <vt:lpwstr>2022-10-28T12:21:52Z</vt:lpwstr>
  </property>
  <property fmtid="{D5CDD505-2E9C-101B-9397-08002B2CF9AE}" pid="8" name="MSIP_Label_23f93e5f-d3c2-49a7-ba94-15405423c204_SiteId">
    <vt:lpwstr>6e51e1ad-c54b-4b39-b598-0ffe9ae68fef</vt:lpwstr>
  </property>
</Properties>
</file>